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D97706" w:sz="8"/>
              <w:left w:val="single" w:color="D97706" w:sz="8"/>
              <w:bottom w:val="single" w:color="D97706" w:sz="8"/>
              <w:right w:val="single" w:color="D97706" w:sz="8"/>
            </w:tcBorders>
            <w:shd w:fill="FFFBEB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WZÓR DO DOSTOSOWANIA — USUŃ TĘ RAMKĘ PRZED PRZYJĘCIEM DOKUMENTU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Wzór ma charakter edukacyjny i nie stanowi porady prawnej. Przygotowano go według stanu prawnego na 7 października 2026 r. (rozporządzenie (UE) 2024/1689 – AI Act, zmienione rozporządzeniem (UE) 2026/1744; ustawa o systemach sztucznej inteligencji; RODO).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Przed przyjęciem dokument należy dostosować do specyfiki jednostki we współpracy z inspektorem ochrony danych, radcą prawnym oraz osobą odpowiedzialną za bezpieczeństwo informacji. Pola do uzupełnienia oznaczono [nawiasami kwadratowymi].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Źródło wzoru: skillit.pl — Skillit Damian Leśniak, szkolenia Excel i AI dla administracji.</w:t>
            </w:r>
          </w:p>
        </w:tc>
      </w:tr>
    </w:tbl>
    <w:p>
      <w:pPr>
        <w:spacing w:after="120" w:before="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240"/>
        <w:jc w:val="right"/>
      </w:pPr>
      <w:r>
        <w:rPr>
          <w:rFonts w:ascii="Calibri" w:cs="Calibri" w:eastAsia="Calibri" w:hAnsi="Calibri"/>
          <w:i/>
          <w:iCs/>
          <w:sz w:val="20"/>
          <w:szCs w:val="20"/>
        </w:rPr>
        <w:t xml:space="preserve">Załącznik do Zarządzenia nr </w:t>
      </w:r>
      <w:r>
        <w:rPr>
          <w:rFonts w:ascii="Calibri" w:cs="Calibri" w:eastAsia="Calibri" w:hAnsi="Calibri"/>
          <w:b/>
          <w:bCs/>
          <w:color w:val="0F766E"/>
          <w:sz w:val="22"/>
          <w:szCs w:val="22"/>
        </w:rPr>
        <w:t xml:space="preserve">[numer]</w:t>
      </w:r>
      <w:r>
        <w:rPr>
          <w:rFonts w:ascii="Calibri" w:cs="Calibri" w:eastAsia="Calibri" w:hAnsi="Calibri"/>
          <w:i/>
          <w:iCs/>
          <w:sz w:val="20"/>
          <w:szCs w:val="20"/>
        </w:rPr>
        <w:t xml:space="preserve"> </w:t>
      </w:r>
      <w:r>
        <w:rPr>
          <w:rFonts w:ascii="Calibri" w:cs="Calibri" w:eastAsia="Calibri" w:hAnsi="Calibri"/>
          <w:b/>
          <w:bCs/>
          <w:color w:val="0F766E"/>
          <w:sz w:val="22"/>
          <w:szCs w:val="22"/>
        </w:rPr>
        <w:t xml:space="preserve">[Wójta / Burmistrza / Prezydenta / Starosty / kierownika jednostki]</w:t>
      </w:r>
      <w:r>
        <w:rPr>
          <w:rFonts w:ascii="Calibri" w:cs="Calibri" w:eastAsia="Calibri" w:hAnsi="Calibri"/>
          <w:i/>
          <w:iCs/>
          <w:sz w:val="20"/>
          <w:szCs w:val="20"/>
        </w:rPr>
        <w:t xml:space="preserve"> z dnia </w:t>
      </w:r>
      <w:r>
        <w:rPr>
          <w:rFonts w:ascii="Calibri" w:cs="Calibri" w:eastAsia="Calibri" w:hAnsi="Calibri"/>
          <w:b/>
          <w:bCs/>
          <w:color w:val="0F766E"/>
          <w:sz w:val="22"/>
          <w:szCs w:val="22"/>
        </w:rPr>
        <w:t xml:space="preserve">[data]</w:t>
      </w:r>
    </w:p>
    <w:p>
      <w:pPr>
        <w:pStyle w:val="Heading1"/>
        <w:spacing w:after="80"/>
        <w:jc w:val="center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POLITYKA KORZYSTANIA Z NARZĘDZI SZTUCZNEJ INTELIGENCJI</w:t>
      </w:r>
    </w:p>
    <w:p>
      <w:pPr>
        <w:spacing w:after="32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w </w:t>
      </w:r>
      <w:r>
        <w:rPr>
          <w:rFonts w:ascii="Calibri" w:cs="Calibri" w:eastAsia="Calibri" w:hAnsi="Calibri"/>
          <w:b/>
          <w:bCs/>
          <w:color w:val="0F766E"/>
          <w:sz w:val="22"/>
          <w:szCs w:val="22"/>
        </w:rPr>
        <w:t xml:space="preserve">[pełna nazwa urzędu / jednostki]</w:t>
      </w:r>
    </w:p>
    <w:p>
      <w:pPr>
        <w:pStyle w:val="Heading2"/>
        <w:keepNext/>
        <w:spacing w:after="120" w:before="280"/>
      </w:pPr>
      <w:r>
        <w:rPr>
          <w:rFonts w:ascii="Calibri" w:cs="Calibri" w:eastAsia="Calibri" w:hAnsi="Calibri"/>
          <w:b/>
          <w:bCs/>
          <w:color w:val="134E4A"/>
          <w:sz w:val="24"/>
          <w:szCs w:val="24"/>
        </w:rPr>
        <w:t xml:space="preserve">§ 1. Cel i zakres stosowania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Polityka określa zasady bezpiecznego, zgodnego z prawem i odpowiedzialnego korzystania z narzędzi sztucznej inteligencji (AI) przez pracowników </w:t>
      </w:r>
      <w:r>
        <w:rPr>
          <w:rFonts w:ascii="Calibri" w:cs="Calibri" w:eastAsia="Calibri" w:hAnsi="Calibri"/>
          <w:b/>
          <w:bCs/>
          <w:color w:val="0F766E"/>
          <w:sz w:val="22"/>
          <w:szCs w:val="22"/>
        </w:rPr>
        <w:t xml:space="preserve">[nazwa urzędu]</w:t>
      </w:r>
      <w:r>
        <w:rPr>
          <w:rFonts w:ascii="Calibri" w:cs="Calibri" w:eastAsia="Calibri" w:hAnsi="Calibri"/>
          <w:sz w:val="22"/>
          <w:szCs w:val="22"/>
        </w:rPr>
        <w:t xml:space="preserve">, zwanego dalej „Urzędem”.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Polityka ma na celu w szczególności: ochronę danych osobowych i informacji prawnie chronionych, zapewnienie rzetelności dokumentów i rozstrzygnięć, spełnienie obowiązków wynikających z rozporządzenia (UE) 2024/1689 (AI Act) oraz wspieranie rozwoju kompetencji pracowników w zakresie AI.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Polityka obowiązuje wszystkie osoby wykonujące zadania na rzecz Urzędu, bez względu na podstawę zatrudnienia, w tym pracowników, stażystów, praktykantów oraz osoby wykonujące zadania na podstawie umów cywilnoprawnych.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Polityka dotyczy korzystania z narzędzi AI do zadań służbowych, niezależnie od tego, czy narzędzie zostało udostępnione przez Urząd, czy jest dostępne publicznie w internecie.</w:t>
      </w:r>
    </w:p>
    <w:p>
      <w:pPr>
        <w:pStyle w:val="Heading2"/>
        <w:keepNext/>
        <w:spacing w:after="120" w:before="280"/>
      </w:pPr>
      <w:r>
        <w:rPr>
          <w:rFonts w:ascii="Calibri" w:cs="Calibri" w:eastAsia="Calibri" w:hAnsi="Calibri"/>
          <w:b/>
          <w:bCs/>
          <w:color w:val="134E4A"/>
          <w:sz w:val="24"/>
          <w:szCs w:val="24"/>
        </w:rPr>
        <w:t xml:space="preserve">§ 2. Definicje</w:t>
      </w:r>
    </w:p>
    <w:p>
      <w:pPr>
        <w:keepNext/>
        <w:spacing w:after="120" w:before="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Ilekroć w Polityce jest mowa o:</w:t>
      </w:r>
    </w:p>
    <w:p>
      <w:pPr>
        <w:pStyle w:val="ListParagraph"/>
        <w:numPr>
          <w:ilvl w:val="0"/>
          <w:numId w:val="3"/>
        </w:numPr>
        <w:spacing w:after="8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narzędziu AI — rozumie się przez to system sztucznej inteligencji, w szczególności asystenta konwersacyjnego (np. ChatGPT, Microsoft Copilot, Gemini, Claude), narzędzie do analizy dokumentów (np. NotebookLM), tłumaczenia, transkrypcji, generowania obrazów lub funkcje AI wbudowane w oprogramowanie biurowe;</w:t>
      </w:r>
    </w:p>
    <w:p>
      <w:pPr>
        <w:pStyle w:val="ListParagraph"/>
        <w:numPr>
          <w:ilvl w:val="0"/>
          <w:numId w:val="3"/>
        </w:numPr>
        <w:spacing w:after="8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zatwierdzonym narzędziu AI — rozumie się przez to narzędzie AI wpisane do Ewidencji narzędzi AI stanowiącej Załącznik nr 1, wraz z określonym zakresem dopuszczalnego użycia;</w:t>
      </w:r>
    </w:p>
    <w:p>
      <w:pPr>
        <w:pStyle w:val="ListParagraph"/>
        <w:numPr>
          <w:ilvl w:val="0"/>
          <w:numId w:val="3"/>
        </w:numPr>
        <w:spacing w:after="8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informacjach chronionych — rozumie się przez to dane osobowe, informacje objęte tajemnicą prawnie chronioną (w szczególności tajemnicą skarbową, statystyczną, służbową lub przedsiębiorcy), informacje niejawne oraz informacje dotyczące bezpieczeństwa systemów teleinformatycznych Urzędu;</w:t>
      </w:r>
    </w:p>
    <w:p>
      <w:pPr>
        <w:pStyle w:val="ListParagraph"/>
        <w:numPr>
          <w:ilvl w:val="0"/>
          <w:numId w:val="3"/>
        </w:numPr>
        <w:spacing w:after="8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Koordynatorze ds. AI — rozumie się przez to osobę wyznaczoną przez </w:t>
      </w:r>
      <w:r>
        <w:rPr>
          <w:rFonts w:ascii="Calibri" w:cs="Calibri" w:eastAsia="Calibri" w:hAnsi="Calibri"/>
          <w:b/>
          <w:bCs/>
          <w:color w:val="0F766E"/>
          <w:sz w:val="22"/>
          <w:szCs w:val="22"/>
        </w:rPr>
        <w:t xml:space="preserve">[kierownika jednostki]</w:t>
      </w:r>
      <w:r>
        <w:rPr>
          <w:rFonts w:ascii="Calibri" w:cs="Calibri" w:eastAsia="Calibri" w:hAnsi="Calibri"/>
          <w:sz w:val="22"/>
          <w:szCs w:val="22"/>
        </w:rPr>
        <w:t xml:space="preserve"> do nadzoru nad stosowaniem Polityki.</w:t>
      </w:r>
    </w:p>
    <w:p>
      <w:pPr>
        <w:pStyle w:val="Heading2"/>
        <w:keepNext/>
        <w:spacing w:after="120" w:before="280"/>
      </w:pPr>
      <w:r>
        <w:rPr>
          <w:rFonts w:ascii="Calibri" w:cs="Calibri" w:eastAsia="Calibri" w:hAnsi="Calibri"/>
          <w:b/>
          <w:bCs/>
          <w:color w:val="134E4A"/>
          <w:sz w:val="24"/>
          <w:szCs w:val="24"/>
        </w:rPr>
        <w:t xml:space="preserve">§ 3. Zasady ogólne</w:t>
      </w:r>
    </w:p>
    <w:p>
      <w:pPr>
        <w:pStyle w:val="ListParagraph"/>
        <w:numPr>
          <w:ilvl w:val="0"/>
          <w:numId w:val="4"/>
        </w:numPr>
        <w:spacing w:after="8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Narzędzia AI wspierają pracę pracownika, ale go nie zastępują. Pełną odpowiedzialność za treść dokumentu, pisma, analizy lub rozstrzygnięcia ponosi pracownik, który go przygotował, oraz osoba, która go zatwierdziła.</w:t>
      </w:r>
    </w:p>
    <w:p>
      <w:pPr>
        <w:pStyle w:val="ListParagraph"/>
        <w:numPr>
          <w:ilvl w:val="0"/>
          <w:numId w:val="4"/>
        </w:numPr>
        <w:spacing w:after="8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Pracownik korzysta z narzędzi AI wyłącznie w zakresie niezbędnym do realizacji zadań służbowych, z zachowaniem zasad określonych w Polityce oraz w </w:t>
      </w:r>
      <w:r>
        <w:rPr>
          <w:rFonts w:ascii="Calibri" w:cs="Calibri" w:eastAsia="Calibri" w:hAnsi="Calibri"/>
          <w:b/>
          <w:bCs/>
          <w:color w:val="0F766E"/>
          <w:sz w:val="22"/>
          <w:szCs w:val="22"/>
        </w:rPr>
        <w:t xml:space="preserve">[Polityce bezpieczeństwa informacji / Polityce ochrony danych osobowych]</w:t>
      </w:r>
      <w:r>
        <w:rPr>
          <w:rFonts w:ascii="Calibri" w:cs="Calibri" w:eastAsia="Calibri" w:hAnsi="Calibri"/>
          <w:sz w:val="22"/>
          <w:szCs w:val="22"/>
        </w:rPr>
        <w:t xml:space="preserve"> Urzędu.</w:t>
      </w:r>
    </w:p>
    <w:p>
      <w:pPr>
        <w:pStyle w:val="ListParagraph"/>
        <w:numPr>
          <w:ilvl w:val="0"/>
          <w:numId w:val="4"/>
        </w:numPr>
        <w:spacing w:after="8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Wynik wygenerowany przez narzędzie AI traktuje się jako projekt wymagający weryfikacji, a nie jako źródło informacji.</w:t>
      </w:r>
    </w:p>
    <w:p>
      <w:pPr>
        <w:pStyle w:val="Heading2"/>
        <w:keepNext/>
        <w:spacing w:after="120" w:before="280"/>
      </w:pPr>
      <w:r>
        <w:rPr>
          <w:rFonts w:ascii="Calibri" w:cs="Calibri" w:eastAsia="Calibri" w:hAnsi="Calibri"/>
          <w:b/>
          <w:bCs/>
          <w:color w:val="134E4A"/>
          <w:sz w:val="24"/>
          <w:szCs w:val="24"/>
        </w:rPr>
        <w:t xml:space="preserve">§ 4. Zatwierdzone narzędzia</w:t>
      </w:r>
    </w:p>
    <w:p>
      <w:pPr>
        <w:pStyle w:val="ListParagraph"/>
        <w:numPr>
          <w:ilvl w:val="0"/>
          <w:numId w:val="5"/>
        </w:numPr>
        <w:spacing w:after="8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Do zadań służbowych wolno korzystać wyłącznie z zatwierdzonych narzędzi AI, w zakresie określonym w Ewidencji narzędzi AI (Załącznik nr 1).</w:t>
      </w:r>
    </w:p>
    <w:p>
      <w:pPr>
        <w:pStyle w:val="ListParagraph"/>
        <w:numPr>
          <w:ilvl w:val="0"/>
          <w:numId w:val="5"/>
        </w:numPr>
        <w:spacing w:after="8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Zabrania się wykorzystywania do zadań służbowych prywatnych kont pracowników w narzędziach AI, w tym kont bezpłatnych, jeżeli nie zostały wpisane do Ewidencji.</w:t>
      </w:r>
    </w:p>
    <w:p>
      <w:pPr>
        <w:pStyle w:val="ListParagraph"/>
        <w:numPr>
          <w:ilvl w:val="0"/>
          <w:numId w:val="5"/>
        </w:numPr>
        <w:spacing w:after="8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Wpisanie narzędzia do Ewidencji następuje na wniosek kierownika komórki organizacyjnej, po zaopiniowaniu przez Koordynatora ds. AI, inspektora ochrony danych oraz </w:t>
      </w:r>
      <w:r>
        <w:rPr>
          <w:rFonts w:ascii="Calibri" w:cs="Calibri" w:eastAsia="Calibri" w:hAnsi="Calibri"/>
          <w:b/>
          <w:bCs/>
          <w:color w:val="0F766E"/>
          <w:sz w:val="22"/>
          <w:szCs w:val="22"/>
        </w:rPr>
        <w:t xml:space="preserve">[informatyka / administratora systemów]</w:t>
      </w:r>
      <w:r>
        <w:rPr>
          <w:rFonts w:ascii="Calibri" w:cs="Calibri" w:eastAsia="Calibri" w:hAnsi="Calibri"/>
          <w:sz w:val="22"/>
          <w:szCs w:val="22"/>
        </w:rPr>
        <w:t xml:space="preserve">, z uwzględnieniem w szczególności: lokalizacji przetwarzania danych, wykorzystywania danych do trenowania modeli, warunków umowy z dostawcą (w tym umowy powierzenia przetwarzania danych osobowych) oraz zasad zarządzania kontami.</w:t>
      </w:r>
    </w:p>
    <w:p>
      <w:pPr>
        <w:pStyle w:val="ListParagraph"/>
        <w:numPr>
          <w:ilvl w:val="0"/>
          <w:numId w:val="5"/>
        </w:numPr>
        <w:spacing w:after="8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Koordynator ds. AI prowadzi Ewidencję i aktualizuje ją niezwłocznie po każdej zmianie.</w:t>
      </w:r>
    </w:p>
    <w:p>
      <w:pPr>
        <w:pStyle w:val="Heading2"/>
        <w:keepNext/>
        <w:spacing w:after="120" w:before="280"/>
      </w:pPr>
      <w:r>
        <w:rPr>
          <w:rFonts w:ascii="Calibri" w:cs="Calibri" w:eastAsia="Calibri" w:hAnsi="Calibri"/>
          <w:b/>
          <w:bCs/>
          <w:color w:val="134E4A"/>
          <w:sz w:val="24"/>
          <w:szCs w:val="24"/>
        </w:rPr>
        <w:t xml:space="preserve">§ 5. Ochrona danych i informacji</w:t>
      </w:r>
    </w:p>
    <w:p>
      <w:pPr>
        <w:keepNext/>
        <w:spacing w:after="120" w:before="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Do narzędzia AI nie wolno wprowadzać, w tym wklejać ani przesyłać w plikach:</w:t>
      </w:r>
    </w:p>
    <w:p>
      <w:pPr>
        <w:pStyle w:val="ListParagraph"/>
        <w:numPr>
          <w:ilvl w:val="0"/>
          <w:numId w:val="6"/>
        </w:numPr>
        <w:spacing w:after="8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danych osobowych, w szczególności imion i nazwisk, numerów PESEL, adresów, numerów telefonów i adresów e-mail osób fizycznych, chyba że Ewidencja wyraźnie dopuszcza przetwarzanie danych osobowych w danym narzędziu na podstawie zawartej umowy powierzenia;</w:t>
      </w:r>
    </w:p>
    <w:p>
      <w:pPr>
        <w:pStyle w:val="ListParagraph"/>
        <w:numPr>
          <w:ilvl w:val="0"/>
          <w:numId w:val="6"/>
        </w:numPr>
        <w:spacing w:after="8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danych szczególnych kategorii (m.in. o stanie zdrowia, niepełnosprawności, przekonaniach religijnych), danych dotyczących wyroków skazujących oraz informacji o sytuacji socjalnej i majątkowej osób — bez wyjątków;</w:t>
      </w:r>
    </w:p>
    <w:p>
      <w:pPr>
        <w:pStyle w:val="ListParagraph"/>
        <w:numPr>
          <w:ilvl w:val="0"/>
          <w:numId w:val="6"/>
        </w:numPr>
        <w:spacing w:after="8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informacji objętych tajemnicą prawnie chronioną oraz informacji niejawnych;</w:t>
      </w:r>
    </w:p>
    <w:p>
      <w:pPr>
        <w:pStyle w:val="ListParagraph"/>
        <w:numPr>
          <w:ilvl w:val="0"/>
          <w:numId w:val="6"/>
        </w:numPr>
        <w:spacing w:after="8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haseł, kluczy dostępowych, konfiguracji systemów i innych informacji dotyczących bezpieczeństwa Urzędu;</w:t>
      </w:r>
    </w:p>
    <w:p>
      <w:pPr>
        <w:pStyle w:val="ListParagraph"/>
        <w:numPr>
          <w:ilvl w:val="0"/>
          <w:numId w:val="6"/>
        </w:numPr>
        <w:spacing w:after="8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treści dokumentów w sprawach w toku, jeżeli zawierają informacje wymienione powyżej.</w:t>
      </w:r>
    </w:p>
    <w:p>
      <w:pPr>
        <w:spacing w:after="120" w:before="8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Przed wprowadzeniem dokumentu do narzędzia AI pracownik usuwa lub zastępuje informacje chronione oznaczeniami zastępczymi (np. „[Wnioskodawca]”, „[adres]”, „[kwota]”) w sposób uniemożliwiający identyfikację osoby.</w:t>
      </w:r>
    </w:p>
    <w:p>
      <w:pPr>
        <w:spacing w:after="120" w:before="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W razie wątpliwości, czy dana informacja może zostać wprowadzona do narzędzia AI, pracownik nie wprowadza jej i konsultuje się z inspektorem ochrony danych.</w:t>
      </w:r>
    </w:p>
    <w:p>
      <w:pPr>
        <w:pStyle w:val="Heading2"/>
        <w:keepNext/>
        <w:spacing w:after="120" w:before="280"/>
      </w:pPr>
      <w:r>
        <w:rPr>
          <w:rFonts w:ascii="Calibri" w:cs="Calibri" w:eastAsia="Calibri" w:hAnsi="Calibri"/>
          <w:b/>
          <w:bCs/>
          <w:color w:val="134E4A"/>
          <w:sz w:val="24"/>
          <w:szCs w:val="24"/>
        </w:rPr>
        <w:t xml:space="preserve">§ 6. Dopuszczalne i niedopuszczalne zastosowania</w:t>
      </w:r>
    </w:p>
    <w:p>
      <w:pPr>
        <w:keepNext/>
        <w:spacing w:after="120" w:before="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Narzędzia AI mogą być wykorzystywane w szczególności do:</w:t>
      </w:r>
    </w:p>
    <w:p>
      <w:pPr>
        <w:pStyle w:val="ListParagraph"/>
        <w:numPr>
          <w:ilvl w:val="0"/>
          <w:numId w:val="6"/>
        </w:numPr>
        <w:spacing w:after="8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redakcji, skracania i korekty językowej tekstów niezawierających informacji chronionych;</w:t>
      </w:r>
    </w:p>
    <w:p>
      <w:pPr>
        <w:pStyle w:val="ListParagraph"/>
        <w:numPr>
          <w:ilvl w:val="0"/>
          <w:numId w:val="6"/>
        </w:numPr>
        <w:spacing w:after="8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upraszczania języka komunikatów i informacji kierowanych do mieszkańców;</w:t>
      </w:r>
    </w:p>
    <w:p>
      <w:pPr>
        <w:pStyle w:val="ListParagraph"/>
        <w:numPr>
          <w:ilvl w:val="0"/>
          <w:numId w:val="6"/>
        </w:numPr>
        <w:spacing w:after="8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streszczania i porównywania jawnych dokumentów, w tym aktów prawnych, uchwał i opracowań;</w:t>
      </w:r>
    </w:p>
    <w:p>
      <w:pPr>
        <w:pStyle w:val="ListParagraph"/>
        <w:numPr>
          <w:ilvl w:val="0"/>
          <w:numId w:val="6"/>
        </w:numPr>
        <w:spacing w:after="8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przygotowywania projektów ogłoszeń, informacji prasowych, prezentacji i materiałów szkoleniowych;</w:t>
      </w:r>
    </w:p>
    <w:p>
      <w:pPr>
        <w:pStyle w:val="ListParagraph"/>
        <w:numPr>
          <w:ilvl w:val="0"/>
          <w:numId w:val="6"/>
        </w:numPr>
        <w:spacing w:after="8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tworzenia formuł, makr i wzorów w arkuszach kalkulacyjnych na danych przykładowych lub zanonimizowanych;</w:t>
      </w:r>
    </w:p>
    <w:p>
      <w:pPr>
        <w:pStyle w:val="ListParagraph"/>
        <w:numPr>
          <w:ilvl w:val="0"/>
          <w:numId w:val="6"/>
        </w:numPr>
        <w:spacing w:after="8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tłumaczenia tekstów jawnych.</w:t>
      </w:r>
    </w:p>
    <w:p>
      <w:pPr>
        <w:keepNext/>
        <w:spacing w:after="120" w:before="8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Zabrania się wykorzystywania narzędzi AI do:</w:t>
      </w:r>
    </w:p>
    <w:p>
      <w:pPr>
        <w:pStyle w:val="ListParagraph"/>
        <w:numPr>
          <w:ilvl w:val="0"/>
          <w:numId w:val="6"/>
        </w:numPr>
        <w:spacing w:after="8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wydawania lub przygotowywania rozstrzygnięć w sprawach indywidualnych (w tym decyzji administracyjnych) bez merytorycznej oceny sprawy i weryfikacji przez pracownika;</w:t>
      </w:r>
    </w:p>
    <w:p>
      <w:pPr>
        <w:pStyle w:val="ListParagraph"/>
        <w:numPr>
          <w:ilvl w:val="0"/>
          <w:numId w:val="6"/>
        </w:numPr>
        <w:spacing w:after="8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oceny, klasyfikowania lub profilowania osób, w tym kandydatów w naborach, pracowników oraz wnioskodawców;</w:t>
      </w:r>
    </w:p>
    <w:p>
      <w:pPr>
        <w:pStyle w:val="ListParagraph"/>
        <w:numPr>
          <w:ilvl w:val="0"/>
          <w:numId w:val="6"/>
        </w:numPr>
        <w:spacing w:after="8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praktyk zakazanych na podstawie art. 5 AI Act, w tym technik manipulacyjnych i oceny społecznej (scoringu);</w:t>
      </w:r>
    </w:p>
    <w:p>
      <w:pPr>
        <w:pStyle w:val="ListParagraph"/>
        <w:numPr>
          <w:ilvl w:val="0"/>
          <w:numId w:val="6"/>
        </w:numPr>
        <w:spacing w:after="8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tworzenia treści wprowadzających w błąd, w tym wizerunków lub nagrań osób bez ich wiedzy i zgody;</w:t>
      </w:r>
    </w:p>
    <w:p>
      <w:pPr>
        <w:pStyle w:val="ListParagraph"/>
        <w:numPr>
          <w:ilvl w:val="0"/>
          <w:numId w:val="6"/>
        </w:numPr>
        <w:spacing w:after="8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przetwarzania informacji, o których mowa w § 5 ust. 1, poza zakresem dopuszczonym w Ewidencji.</w:t>
      </w:r>
    </w:p>
    <w:p>
      <w:pPr>
        <w:spacing w:after="120" w:before="8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Zastosowania nieobjęte ust. 1 i 2 wymagają uprzedniej zgody Koordynatora ds. AI. Zasady w skrócie przedstawia Załącznik nr 3.</w:t>
      </w:r>
    </w:p>
    <w:p>
      <w:pPr>
        <w:pStyle w:val="Heading2"/>
        <w:keepNext/>
        <w:spacing w:after="120" w:before="280"/>
      </w:pPr>
      <w:r>
        <w:rPr>
          <w:rFonts w:ascii="Calibri" w:cs="Calibri" w:eastAsia="Calibri" w:hAnsi="Calibri"/>
          <w:b/>
          <w:bCs/>
          <w:color w:val="134E4A"/>
          <w:sz w:val="24"/>
          <w:szCs w:val="24"/>
        </w:rPr>
        <w:t xml:space="preserve">§ 7. Weryfikacja wyników i odpowiedzialność</w:t>
      </w:r>
    </w:p>
    <w:p>
      <w:pPr>
        <w:pStyle w:val="ListParagraph"/>
        <w:numPr>
          <w:ilvl w:val="0"/>
          <w:numId w:val="7"/>
        </w:numPr>
        <w:spacing w:after="8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Pracownik weryfikuje każdy wynik narzędzia AI przed jego wykorzystaniem, w szczególności poprawność faktów, liczb, dat, nazw i cytatów.</w:t>
      </w:r>
    </w:p>
    <w:p>
      <w:pPr>
        <w:pStyle w:val="ListParagraph"/>
        <w:numPr>
          <w:ilvl w:val="0"/>
          <w:numId w:val="7"/>
        </w:numPr>
        <w:spacing w:after="8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Przepisy prawa przytoczone lub zinterpretowane przez narzędzie AI pracownik sprawdza w źródle urzędowym (Dziennik Ustaw, Dziennik Urzędowy UE, dziennik urzędowy województwa, Internetowy System Aktów Prawnych) w brzmieniu obowiązującym w dniu sporządzenia dokumentu.</w:t>
      </w:r>
    </w:p>
    <w:p>
      <w:pPr>
        <w:pStyle w:val="ListParagraph"/>
        <w:numPr>
          <w:ilvl w:val="0"/>
          <w:numId w:val="7"/>
        </w:numPr>
        <w:spacing w:after="8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Zakazuje się przekazywania na zewnątrz Urzędu treści wygenerowanych przez narzędzie AI bez ich weryfikacji i akceptacji przez pracownika.</w:t>
      </w:r>
    </w:p>
    <w:p>
      <w:pPr>
        <w:pStyle w:val="Heading2"/>
        <w:keepNext/>
        <w:spacing w:after="120" w:before="280"/>
      </w:pPr>
      <w:r>
        <w:rPr>
          <w:rFonts w:ascii="Calibri" w:cs="Calibri" w:eastAsia="Calibri" w:hAnsi="Calibri"/>
          <w:b/>
          <w:bCs/>
          <w:color w:val="134E4A"/>
          <w:sz w:val="24"/>
          <w:szCs w:val="24"/>
        </w:rPr>
        <w:t xml:space="preserve">§ 8. Przejrzystość</w:t>
      </w:r>
    </w:p>
    <w:p>
      <w:pPr>
        <w:pStyle w:val="ListParagraph"/>
        <w:numPr>
          <w:ilvl w:val="0"/>
          <w:numId w:val="8"/>
        </w:numPr>
        <w:spacing w:after="8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Jeżeli Urząd udostępnia mieszkańcom narzędzie AI prowadzące z nimi interakcję (np. czatbot na stronie internetowej), użytkownik jest wyraźnie informowany, że komunikuje się z systemem AI, a nie z człowiekiem.</w:t>
      </w:r>
    </w:p>
    <w:p>
      <w:pPr>
        <w:pStyle w:val="ListParagraph"/>
        <w:numPr>
          <w:ilvl w:val="0"/>
          <w:numId w:val="8"/>
        </w:numPr>
        <w:spacing w:after="8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Obrazy, nagrania dźwiękowe i materiały wideo wygenerowane lub istotnie zmienione przy użyciu AI, przedstawiające realistyczne osoby, miejsca lub zdarzenia, oznacza się jako wygenerowane lub zmienione sztucznie.</w:t>
      </w:r>
    </w:p>
    <w:p>
      <w:pPr>
        <w:pStyle w:val="ListParagraph"/>
        <w:numPr>
          <w:ilvl w:val="0"/>
          <w:numId w:val="8"/>
        </w:numPr>
        <w:spacing w:after="8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Teksty publikowane w celu informowania społeczeństwa o sprawach leżących w interesie publicznym, wygenerowane lub zmienione przez AI, podlegają przed publikacją przeglądowi i zatwierdzeniu przez pracownika ponoszącego odpowiedzialność redakcyjną. </w:t>
      </w:r>
      <w:r>
        <w:rPr>
          <w:rFonts w:ascii="Calibri" w:cs="Calibri" w:eastAsia="Calibri" w:hAnsi="Calibri"/>
          <w:b/>
          <w:bCs/>
          <w:color w:val="0F766E"/>
          <w:sz w:val="22"/>
          <w:szCs w:val="22"/>
        </w:rPr>
        <w:t xml:space="preserve">[Jeżeli przegląd nie jest możliwy, tekst oznacza się jako wygenerowany przez AI.]</w:t>
      </w:r>
    </w:p>
    <w:p>
      <w:pPr>
        <w:pStyle w:val="Heading2"/>
        <w:keepNext/>
        <w:spacing w:after="120" w:before="280"/>
      </w:pPr>
      <w:r>
        <w:rPr>
          <w:rFonts w:ascii="Calibri" w:cs="Calibri" w:eastAsia="Calibri" w:hAnsi="Calibri"/>
          <w:b/>
          <w:bCs/>
          <w:color w:val="134E4A"/>
          <w:sz w:val="24"/>
          <w:szCs w:val="24"/>
        </w:rPr>
        <w:t xml:space="preserve">§ 9. Kompetencje pracowników w zakresie AI</w:t>
      </w:r>
    </w:p>
    <w:p>
      <w:pPr>
        <w:pStyle w:val="ListParagraph"/>
        <w:numPr>
          <w:ilvl w:val="0"/>
          <w:numId w:val="9"/>
        </w:numPr>
        <w:spacing w:after="8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Urząd podejmuje środki wspierające rozwój kompetencji pracowników w zakresie AI, z uwzględnieniem ich wiedzy, doświadczenia, zakresu obowiązków oraz kontekstu, w jakim korzystają z narzędzi AI.</w:t>
      </w:r>
    </w:p>
    <w:p>
      <w:pPr>
        <w:pStyle w:val="ListParagraph"/>
        <w:numPr>
          <w:ilvl w:val="0"/>
          <w:numId w:val="9"/>
        </w:numPr>
        <w:spacing w:after="8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Dostęp do zatwierdzonego narzędzia AI pracownik otrzymuje po zapoznaniu się z Polityką, złożeniu oświadczenia (Załącznik nr 2) oraz odbyciu szkolenia z zasad bezpiecznego korzystania z AI.</w:t>
      </w:r>
    </w:p>
    <w:p>
      <w:pPr>
        <w:pStyle w:val="ListParagraph"/>
        <w:numPr>
          <w:ilvl w:val="0"/>
          <w:numId w:val="9"/>
        </w:numPr>
        <w:spacing w:after="8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Szkolenia obejmują co najmniej: możliwości i ograniczenia narzędzi AI, ryzyko błędnych lub zmyślonych odpowiedzi, zasady ochrony danych, formułowanie poleceń oraz weryfikację wyników.</w:t>
      </w:r>
    </w:p>
    <w:p>
      <w:pPr>
        <w:pStyle w:val="ListParagraph"/>
        <w:numPr>
          <w:ilvl w:val="0"/>
          <w:numId w:val="9"/>
        </w:numPr>
        <w:spacing w:after="80" w:line="276"/>
        <w:jc w:val="both"/>
      </w:pPr>
      <w:r>
        <w:rPr>
          <w:rFonts w:ascii="Calibri" w:cs="Calibri" w:eastAsia="Calibri" w:hAnsi="Calibri"/>
          <w:b/>
          <w:bCs/>
          <w:color w:val="0F766E"/>
          <w:sz w:val="22"/>
          <w:szCs w:val="22"/>
        </w:rPr>
        <w:t xml:space="preserve">[Komórka kadr / Koordynator ds. AI]</w:t>
      </w:r>
      <w:r>
        <w:rPr>
          <w:rFonts w:ascii="Calibri" w:cs="Calibri" w:eastAsia="Calibri" w:hAnsi="Calibri"/>
          <w:sz w:val="22"/>
          <w:szCs w:val="22"/>
        </w:rPr>
        <w:t xml:space="preserve"> prowadzi ewidencję szkoleń i działań wspierających kompetencje, obejmującą: datę, zakres, formę oraz listę uczestników.</w:t>
      </w:r>
    </w:p>
    <w:p>
      <w:pPr>
        <w:pStyle w:val="Heading2"/>
        <w:keepNext/>
        <w:spacing w:after="120" w:before="280"/>
      </w:pPr>
      <w:r>
        <w:rPr>
          <w:rFonts w:ascii="Calibri" w:cs="Calibri" w:eastAsia="Calibri" w:hAnsi="Calibri"/>
          <w:b/>
          <w:bCs/>
          <w:color w:val="134E4A"/>
          <w:sz w:val="24"/>
          <w:szCs w:val="24"/>
        </w:rPr>
        <w:t xml:space="preserve">§ 10. Incydenty</w:t>
      </w:r>
    </w:p>
    <w:p>
      <w:pPr>
        <w:pStyle w:val="ListParagraph"/>
        <w:numPr>
          <w:ilvl w:val="0"/>
          <w:numId w:val="10"/>
        </w:numPr>
        <w:spacing w:after="8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Pracownik niezwłocznie zgłasza Koordynatorowi ds. AI oraz inspektorowi ochrony danych każdy przypadek wprowadzenia do narzędzia AI informacji chronionych z naruszeniem Polityki, a także inne zdarzenia mogące stanowić zagrożenie dla bezpieczeństwa informacji.</w:t>
      </w:r>
    </w:p>
    <w:p>
      <w:pPr>
        <w:pStyle w:val="ListParagraph"/>
        <w:numPr>
          <w:ilvl w:val="0"/>
          <w:numId w:val="10"/>
        </w:numPr>
        <w:spacing w:after="8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Inspektor ochrony danych ocenia, czy zdarzenie stanowi naruszenie ochrony danych osobowych podlegające zgłoszeniu organowi nadzorczemu w terminie 72 godzin od jego stwierdzenia (art. 33 RODO).</w:t>
      </w:r>
    </w:p>
    <w:p>
      <w:pPr>
        <w:pStyle w:val="ListParagraph"/>
        <w:numPr>
          <w:ilvl w:val="0"/>
          <w:numId w:val="10"/>
        </w:numPr>
        <w:spacing w:after="8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Zgłoszenie incydentu w dobrej wierze nie może być podstawą negatywnych konsekwencji wobec zgłaszającego.</w:t>
      </w:r>
    </w:p>
    <w:p>
      <w:pPr>
        <w:pStyle w:val="Heading2"/>
        <w:keepNext/>
        <w:spacing w:after="120" w:before="280"/>
      </w:pPr>
      <w:r>
        <w:rPr>
          <w:rFonts w:ascii="Calibri" w:cs="Calibri" w:eastAsia="Calibri" w:hAnsi="Calibri"/>
          <w:b/>
          <w:bCs/>
          <w:color w:val="134E4A"/>
          <w:sz w:val="24"/>
          <w:szCs w:val="24"/>
        </w:rPr>
        <w:t xml:space="preserve">§ 11. Role i odpowiedzialność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7038"/>
      </w:tblGrid>
      <w:tr>
        <w:trPr>
          <w:tblHeader/>
        </w:trP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0F766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Rola</w:t>
            </w:r>
          </w:p>
        </w:tc>
        <w:tc>
          <w:tcPr>
            <w:tcW w:type="dxa" w:w="7038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0F766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Zadania</w:t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766E"/>
                <w:sz w:val="22"/>
                <w:szCs w:val="22"/>
              </w:rPr>
              <w:t xml:space="preserve">[Kierownik jednostki]</w:t>
            </w:r>
          </w:p>
        </w:tc>
        <w:tc>
          <w:tcPr>
            <w:tcW w:type="dxa" w:w="7038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Przyjmuje Politykę, wyznacza Koordynatora ds. AI, zapewnia środki na szkolenia.</w:t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Koordynator ds. AI</w:t>
            </w:r>
          </w:p>
        </w:tc>
        <w:tc>
          <w:tcPr>
            <w:tcW w:type="dxa" w:w="7038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Prowadzi Ewidencję narzędzi AI, opiniuje nowe zastosowania, przyjmuje zgłoszenia, inicjuje przegląd Polityki.</w:t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Inspektor ochrony danych</w:t>
            </w:r>
          </w:p>
        </w:tc>
        <w:tc>
          <w:tcPr>
            <w:tcW w:type="dxa" w:w="7038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Opiniuje narzędzia i zastosowania pod kątem ochrony danych, ocenia incydenty.</w:t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766E"/>
                <w:sz w:val="22"/>
                <w:szCs w:val="22"/>
              </w:rPr>
              <w:t xml:space="preserve">[Informatyk / administrator systemów]</w:t>
            </w:r>
          </w:p>
        </w:tc>
        <w:tc>
          <w:tcPr>
            <w:tcW w:type="dxa" w:w="7038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Ocenia bezpieczeństwo narzędzi, zarządza kontami i uprawnieniami.</w:t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Kierownicy komórek</w:t>
            </w:r>
          </w:p>
        </w:tc>
        <w:tc>
          <w:tcPr>
            <w:tcW w:type="dxa" w:w="7038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Nadzorują stosowanie Polityki przez podległych pracowników, wnioskują o zatwierdzenie narzędzi.</w:t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Pracownicy</w:t>
            </w:r>
          </w:p>
        </w:tc>
        <w:tc>
          <w:tcPr>
            <w:tcW w:type="dxa" w:w="7038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Stosują Politykę, weryfikują wyniki, zgłaszają incydenty i wątpliwości.</w:t>
            </w:r>
          </w:p>
        </w:tc>
      </w:tr>
    </w:tbl>
    <w:p>
      <w:pPr>
        <w:pStyle w:val="Heading2"/>
        <w:keepNext/>
        <w:spacing w:after="120" w:before="280"/>
      </w:pPr>
      <w:r>
        <w:rPr>
          <w:rFonts w:ascii="Calibri" w:cs="Calibri" w:eastAsia="Calibri" w:hAnsi="Calibri"/>
          <w:b/>
          <w:bCs/>
          <w:color w:val="134E4A"/>
          <w:sz w:val="24"/>
          <w:szCs w:val="24"/>
        </w:rPr>
        <w:t xml:space="preserve">§ 12. Postanowienia końcowe</w:t>
      </w:r>
    </w:p>
    <w:p>
      <w:pPr>
        <w:pStyle w:val="ListParagraph"/>
        <w:numPr>
          <w:ilvl w:val="0"/>
          <w:numId w:val="11"/>
        </w:numPr>
        <w:spacing w:after="8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Naruszenie Polityki może stanowić naruszenie obowiązków pracowniczych i skutkować odpowiedzialnością przewidzianą w przepisach prawa pracy.</w:t>
      </w:r>
    </w:p>
    <w:p>
      <w:pPr>
        <w:pStyle w:val="ListParagraph"/>
        <w:numPr>
          <w:ilvl w:val="0"/>
          <w:numId w:val="11"/>
        </w:numPr>
        <w:spacing w:after="8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Polityka podlega przeglądowi co najmniej raz w roku oraz każdorazowo w przypadku istotnej zmiany przepisów lub wdrożenia nowego narzędzia AI.</w:t>
      </w:r>
    </w:p>
    <w:p>
      <w:pPr>
        <w:pStyle w:val="ListParagraph"/>
        <w:numPr>
          <w:ilvl w:val="0"/>
          <w:numId w:val="11"/>
        </w:numPr>
        <w:spacing w:after="8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Polityka wchodzi w życie z dniem </w:t>
      </w:r>
      <w:r>
        <w:rPr>
          <w:rFonts w:ascii="Calibri" w:cs="Calibri" w:eastAsia="Calibri" w:hAnsi="Calibri"/>
          <w:b/>
          <w:bCs/>
          <w:color w:val="0F766E"/>
          <w:sz w:val="22"/>
          <w:szCs w:val="22"/>
        </w:rPr>
        <w:t xml:space="preserve">[data]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ageBreakBefore/>
        <w:spacing w:after="120"/>
        <w:jc w:val="right"/>
      </w:pPr>
      <w:r>
        <w:rPr>
          <w:rFonts w:ascii="Calibri" w:cs="Calibri" w:eastAsia="Calibri" w:hAnsi="Calibri"/>
          <w:i/>
          <w:iCs/>
          <w:sz w:val="20"/>
          <w:szCs w:val="20"/>
        </w:rPr>
        <w:t xml:space="preserve">Załącznik nr 1 do Polityki</w:t>
      </w:r>
    </w:p>
    <w:p>
      <w:pPr>
        <w:pStyle w:val="Heading2"/>
        <w:spacing w:after="160"/>
      </w:pPr>
      <w:r>
        <w:rPr>
          <w:rFonts w:ascii="Calibri" w:cs="Calibri" w:eastAsia="Calibri" w:hAnsi="Calibri"/>
          <w:b/>
          <w:bCs/>
          <w:color w:val="134E4A"/>
          <w:sz w:val="26"/>
          <w:szCs w:val="26"/>
        </w:rPr>
        <w:t xml:space="preserve">Ewidencja zatwierdzonych narzędzi AI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"/>
        <w:gridCol w:w="1500"/>
        <w:gridCol w:w="1450"/>
        <w:gridCol w:w="1900"/>
        <w:gridCol w:w="1480"/>
        <w:gridCol w:w="1500"/>
        <w:gridCol w:w="1408"/>
      </w:tblGrid>
      <w:tr>
        <w:trPr>
          <w:tblHeader/>
        </w:trPr>
        <w:tc>
          <w:tcPr>
            <w:tcW w:type="dxa" w:w="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0F766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Lp.</w:t>
            </w:r>
          </w:p>
        </w:tc>
        <w:tc>
          <w:tcPr>
            <w:tcW w:type="dxa" w:w="15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0F766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Narzędzie i wersja / plan</w:t>
            </w:r>
          </w:p>
        </w:tc>
        <w:tc>
          <w:tcPr>
            <w:tcW w:type="dxa" w:w="145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0F766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Dostawca, lokalizacja danych</w:t>
            </w:r>
          </w:p>
        </w:tc>
        <w:tc>
          <w:tcPr>
            <w:tcW w:type="dxa" w:w="19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0F766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Dopuszczalny zakres użycia</w:t>
            </w:r>
          </w:p>
        </w:tc>
        <w:tc>
          <w:tcPr>
            <w:tcW w:type="dxa" w:w="148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0F766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Dane osobowe</w:t>
            </w:r>
          </w:p>
        </w:tc>
        <w:tc>
          <w:tcPr>
            <w:tcW w:type="dxa" w:w="15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0F766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Umowa powierzenia</w:t>
            </w:r>
          </w:p>
        </w:tc>
        <w:tc>
          <w:tcPr>
            <w:tcW w:type="dxa" w:w="1408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0F766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Komórki / osoby uprawnione</w:t>
            </w:r>
          </w:p>
        </w:tc>
      </w:tr>
      <w:tr>
        <w:trPr>
          <w:tblHeader w:val="false"/>
        </w:trPr>
        <w:tc>
          <w:tcPr>
            <w:tcW w:type="dxa" w:w="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1</w:t>
            </w:r>
          </w:p>
        </w:tc>
        <w:tc>
          <w:tcPr>
            <w:tcW w:type="dxa" w:w="15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766E"/>
                <w:sz w:val="22"/>
                <w:szCs w:val="22"/>
              </w:rPr>
              <w:t xml:space="preserve">[np. Microsoft 365 Copilot — licencja organizacji]</w:t>
            </w:r>
          </w:p>
        </w:tc>
        <w:tc>
          <w:tcPr>
            <w:tcW w:type="dxa" w:w="145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766E"/>
                <w:sz w:val="22"/>
                <w:szCs w:val="22"/>
              </w:rPr>
              <w:t xml:space="preserve">[dostawca, region]</w:t>
            </w:r>
          </w:p>
        </w:tc>
        <w:tc>
          <w:tcPr>
            <w:tcW w:type="dxa" w:w="19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766E"/>
                <w:sz w:val="22"/>
                <w:szCs w:val="22"/>
              </w:rPr>
              <w:t xml:space="preserve">[np. redakcja pism, streszczenia dokumentów wewnętrznych]</w:t>
            </w:r>
          </w:p>
        </w:tc>
        <w:tc>
          <w:tcPr>
            <w:tcW w:type="dxa" w:w="148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766E"/>
                <w:sz w:val="22"/>
                <w:szCs w:val="22"/>
              </w:rPr>
              <w:t xml:space="preserve">[TAK / NIE]</w:t>
            </w:r>
          </w:p>
        </w:tc>
        <w:tc>
          <w:tcPr>
            <w:tcW w:type="dxa" w:w="15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766E"/>
                <w:sz w:val="22"/>
                <w:szCs w:val="22"/>
              </w:rPr>
              <w:t xml:space="preserve">[TAK — nr, data / NIE]</w:t>
            </w:r>
          </w:p>
        </w:tc>
        <w:tc>
          <w:tcPr>
            <w:tcW w:type="dxa" w:w="1408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766E"/>
                <w:sz w:val="22"/>
                <w:szCs w:val="22"/>
              </w:rPr>
              <w:t xml:space="preserve">[np. wszystkie komórki]</w:t>
            </w:r>
          </w:p>
        </w:tc>
      </w:tr>
      <w:tr>
        <w:trPr>
          <w:tblHeader w:val="false"/>
        </w:trPr>
        <w:tc>
          <w:tcPr>
            <w:tcW w:type="dxa" w:w="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2</w:t>
            </w:r>
          </w:p>
        </w:tc>
        <w:tc>
          <w:tcPr>
            <w:tcW w:type="dxa" w:w="15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766E"/>
                <w:sz w:val="22"/>
                <w:szCs w:val="22"/>
              </w:rPr>
              <w:t xml:space="preserve">[np. NotebookLM — konto w domenie Urzędu]</w:t>
            </w:r>
          </w:p>
        </w:tc>
        <w:tc>
          <w:tcPr>
            <w:tcW w:type="dxa" w:w="145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766E"/>
                <w:sz w:val="22"/>
                <w:szCs w:val="22"/>
              </w:rPr>
              <w:t xml:space="preserve">[ ]</w:t>
            </w:r>
          </w:p>
        </w:tc>
        <w:tc>
          <w:tcPr>
            <w:tcW w:type="dxa" w:w="19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766E"/>
                <w:sz w:val="22"/>
                <w:szCs w:val="22"/>
              </w:rPr>
              <w:t xml:space="preserve">[np. analiza jawnych aktów prawnych]</w:t>
            </w:r>
          </w:p>
        </w:tc>
        <w:tc>
          <w:tcPr>
            <w:tcW w:type="dxa" w:w="148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766E"/>
                <w:sz w:val="22"/>
                <w:szCs w:val="22"/>
              </w:rPr>
              <w:t xml:space="preserve">[NIE]</w:t>
            </w:r>
          </w:p>
        </w:tc>
        <w:tc>
          <w:tcPr>
            <w:tcW w:type="dxa" w:w="15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766E"/>
                <w:sz w:val="22"/>
                <w:szCs w:val="22"/>
              </w:rPr>
              <w:t xml:space="preserve">[ ]</w:t>
            </w:r>
          </w:p>
        </w:tc>
        <w:tc>
          <w:tcPr>
            <w:tcW w:type="dxa" w:w="1408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766E"/>
                <w:sz w:val="22"/>
                <w:szCs w:val="22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W w:type="dxa" w:w="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3</w:t>
            </w:r>
          </w:p>
        </w:tc>
        <w:tc>
          <w:tcPr>
            <w:tcW w:type="dxa" w:w="15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766E"/>
                <w:sz w:val="22"/>
                <w:szCs w:val="22"/>
              </w:rPr>
              <w:t xml:space="preserve">[ ]</w:t>
            </w:r>
          </w:p>
        </w:tc>
        <w:tc>
          <w:tcPr>
            <w:tcW w:type="dxa" w:w="145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766E"/>
                <w:sz w:val="22"/>
                <w:szCs w:val="22"/>
              </w:rPr>
              <w:t xml:space="preserve">[ ]</w:t>
            </w:r>
          </w:p>
        </w:tc>
        <w:tc>
          <w:tcPr>
            <w:tcW w:type="dxa" w:w="19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766E"/>
                <w:sz w:val="22"/>
                <w:szCs w:val="22"/>
              </w:rPr>
              <w:t xml:space="preserve">[ ]</w:t>
            </w:r>
          </w:p>
        </w:tc>
        <w:tc>
          <w:tcPr>
            <w:tcW w:type="dxa" w:w="148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766E"/>
                <w:sz w:val="22"/>
                <w:szCs w:val="22"/>
              </w:rPr>
              <w:t xml:space="preserve">[ ]</w:t>
            </w:r>
          </w:p>
        </w:tc>
        <w:tc>
          <w:tcPr>
            <w:tcW w:type="dxa" w:w="15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766E"/>
                <w:sz w:val="22"/>
                <w:szCs w:val="22"/>
              </w:rPr>
              <w:t xml:space="preserve">[ ]</w:t>
            </w:r>
          </w:p>
        </w:tc>
        <w:tc>
          <w:tcPr>
            <w:tcW w:type="dxa" w:w="1408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766E"/>
                <w:sz w:val="22"/>
                <w:szCs w:val="22"/>
              </w:rPr>
              <w:t xml:space="preserve">[ ]</w:t>
            </w:r>
          </w:p>
        </w:tc>
      </w:tr>
    </w:tbl>
    <w:p>
      <w:pPr>
        <w:spacing w:after="120" w:before="200" w:line="276"/>
        <w:jc w:val="left"/>
      </w:pPr>
      <w:r>
        <w:rPr>
          <w:rFonts w:ascii="Calibri" w:cs="Calibri" w:eastAsia="Calibri" w:hAnsi="Calibri"/>
          <w:sz w:val="20"/>
          <w:szCs w:val="20"/>
        </w:rPr>
        <w:t xml:space="preserve">Data ostatniej aktualizacji: [data]          Podpis Koordynatora ds. AI: ..............................</w:t>
      </w:r>
    </w:p>
    <w:p>
      <w:pPr>
        <w:pageBreakBefore/>
        <w:spacing w:after="120"/>
        <w:jc w:val="right"/>
      </w:pPr>
      <w:r>
        <w:rPr>
          <w:rFonts w:ascii="Calibri" w:cs="Calibri" w:eastAsia="Calibri" w:hAnsi="Calibri"/>
          <w:i/>
          <w:iCs/>
          <w:sz w:val="20"/>
          <w:szCs w:val="20"/>
        </w:rPr>
        <w:t xml:space="preserve">Załącznik nr 2 do Polityki</w:t>
      </w:r>
    </w:p>
    <w:p>
      <w:pPr>
        <w:pStyle w:val="Heading2"/>
        <w:spacing w:after="240"/>
        <w:jc w:val="center"/>
      </w:pPr>
      <w:r>
        <w:rPr>
          <w:rFonts w:ascii="Calibri" w:cs="Calibri" w:eastAsia="Calibri" w:hAnsi="Calibri"/>
          <w:b/>
          <w:bCs/>
          <w:color w:val="134E4A"/>
          <w:sz w:val="26"/>
          <w:szCs w:val="26"/>
        </w:rPr>
        <w:t xml:space="preserve">Oświadczenie pracownika</w:t>
      </w:r>
    </w:p>
    <w:p>
      <w:pPr>
        <w:spacing w:after="160" w:before="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Ja, niżej podpisany/-a </w:t>
      </w:r>
      <w:r>
        <w:rPr>
          <w:rFonts w:ascii="Calibri" w:cs="Calibri" w:eastAsia="Calibri" w:hAnsi="Calibri"/>
          <w:b/>
          <w:bCs/>
          <w:color w:val="0F766E"/>
          <w:sz w:val="22"/>
          <w:szCs w:val="22"/>
        </w:rPr>
        <w:t xml:space="preserve">[imię i nazwisko]</w:t>
      </w:r>
      <w:r>
        <w:rPr>
          <w:rFonts w:ascii="Calibri" w:cs="Calibri" w:eastAsia="Calibri" w:hAnsi="Calibri"/>
          <w:sz w:val="22"/>
          <w:szCs w:val="22"/>
        </w:rPr>
        <w:t xml:space="preserve">, zatrudniony/-a na stanowisku </w:t>
      </w:r>
      <w:r>
        <w:rPr>
          <w:rFonts w:ascii="Calibri" w:cs="Calibri" w:eastAsia="Calibri" w:hAnsi="Calibri"/>
          <w:b/>
          <w:bCs/>
          <w:color w:val="0F766E"/>
          <w:sz w:val="22"/>
          <w:szCs w:val="22"/>
        </w:rPr>
        <w:t xml:space="preserve">[stanowisko]</w:t>
      </w:r>
      <w:r>
        <w:rPr>
          <w:rFonts w:ascii="Calibri" w:cs="Calibri" w:eastAsia="Calibri" w:hAnsi="Calibri"/>
          <w:sz w:val="22"/>
          <w:szCs w:val="22"/>
        </w:rPr>
        <w:t xml:space="preserve"> w </w:t>
      </w:r>
      <w:r>
        <w:rPr>
          <w:rFonts w:ascii="Calibri" w:cs="Calibri" w:eastAsia="Calibri" w:hAnsi="Calibri"/>
          <w:b/>
          <w:bCs/>
          <w:color w:val="0F766E"/>
          <w:sz w:val="22"/>
          <w:szCs w:val="22"/>
        </w:rPr>
        <w:t xml:space="preserve">[komórka organizacyjna]</w:t>
      </w:r>
      <w:r>
        <w:rPr>
          <w:rFonts w:ascii="Calibri" w:cs="Calibri" w:eastAsia="Calibri" w:hAnsi="Calibri"/>
          <w:sz w:val="22"/>
          <w:szCs w:val="22"/>
        </w:rPr>
        <w:t xml:space="preserve">, oświadczam, że:</w:t>
      </w:r>
    </w:p>
    <w:p>
      <w:pPr>
        <w:pStyle w:val="ListParagraph"/>
        <w:numPr>
          <w:ilvl w:val="0"/>
          <w:numId w:val="12"/>
        </w:numPr>
        <w:spacing w:after="8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zapoznałem/-am się z Polityką korzystania z narzędzi sztucznej inteligencji w </w:t>
      </w:r>
      <w:r>
        <w:rPr>
          <w:rFonts w:ascii="Calibri" w:cs="Calibri" w:eastAsia="Calibri" w:hAnsi="Calibri"/>
          <w:b/>
          <w:bCs/>
          <w:color w:val="0F766E"/>
          <w:sz w:val="22"/>
          <w:szCs w:val="22"/>
        </w:rPr>
        <w:t xml:space="preserve">[nazwa urzędu]</w:t>
      </w:r>
      <w:r>
        <w:rPr>
          <w:rFonts w:ascii="Calibri" w:cs="Calibri" w:eastAsia="Calibri" w:hAnsi="Calibri"/>
          <w:sz w:val="22"/>
          <w:szCs w:val="22"/>
        </w:rPr>
        <w:t xml:space="preserve"> i zobowiązuję się do jej stosowania;</w:t>
      </w:r>
    </w:p>
    <w:p>
      <w:pPr>
        <w:pStyle w:val="ListParagraph"/>
        <w:numPr>
          <w:ilvl w:val="0"/>
          <w:numId w:val="12"/>
        </w:numPr>
        <w:spacing w:after="8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odbyłem/-am szkolenie z zasad bezpiecznego korzystania z narzędzi AI w dniu </w:t>
      </w:r>
      <w:r>
        <w:rPr>
          <w:rFonts w:ascii="Calibri" w:cs="Calibri" w:eastAsia="Calibri" w:hAnsi="Calibri"/>
          <w:b/>
          <w:bCs/>
          <w:color w:val="0F766E"/>
          <w:sz w:val="22"/>
          <w:szCs w:val="22"/>
        </w:rPr>
        <w:t xml:space="preserve">[data]</w:t>
      </w:r>
      <w:r>
        <w:rPr>
          <w:rFonts w:ascii="Calibri" w:cs="Calibri" w:eastAsia="Calibri" w:hAnsi="Calibri"/>
          <w:sz w:val="22"/>
          <w:szCs w:val="22"/>
        </w:rPr>
        <w:t xml:space="preserve">;</w:t>
      </w:r>
    </w:p>
    <w:p>
      <w:pPr>
        <w:pStyle w:val="ListParagraph"/>
        <w:numPr>
          <w:ilvl w:val="0"/>
          <w:numId w:val="12"/>
        </w:numPr>
        <w:spacing w:after="8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będę korzystać wyłącznie z zatwierdzonych narzędzi AI i nie będę wprowadzać do nich informacji chronionych z naruszeniem Polityki;</w:t>
      </w:r>
    </w:p>
    <w:p>
      <w:pPr>
        <w:pStyle w:val="ListParagraph"/>
        <w:numPr>
          <w:ilvl w:val="0"/>
          <w:numId w:val="12"/>
        </w:numPr>
        <w:spacing w:after="8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będę weryfikować wyniki narzędzi AI przed ich wykorzystaniem i niezwłocznie zgłaszać incydenty.</w:t>
      </w:r>
    </w:p>
    <w:p>
      <w:pPr>
        <w:spacing w:after="120" w:before="600" w:line="276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..........................................                    ..........................................</w:t>
      </w:r>
    </w:p>
    <w:p>
      <w:pPr>
        <w:spacing w:after="120" w:before="0" w:line="276"/>
        <w:jc w:val="center"/>
      </w:pPr>
      <w:r>
        <w:rPr>
          <w:rFonts w:ascii="Calibri" w:cs="Calibri" w:eastAsia="Calibri" w:hAnsi="Calibri"/>
          <w:sz w:val="18"/>
          <w:szCs w:val="18"/>
        </w:rPr>
        <w:t xml:space="preserve">miejscowość, data                                                         podpis pracownika</w:t>
      </w:r>
    </w:p>
    <w:p>
      <w:pPr>
        <w:pageBreakBefore/>
        <w:spacing w:after="120"/>
        <w:jc w:val="right"/>
      </w:pPr>
      <w:r>
        <w:rPr>
          <w:rFonts w:ascii="Calibri" w:cs="Calibri" w:eastAsia="Calibri" w:hAnsi="Calibri"/>
          <w:i/>
          <w:iCs/>
          <w:sz w:val="20"/>
          <w:szCs w:val="20"/>
        </w:rPr>
        <w:t xml:space="preserve">Załącznik nr 3 do Polityki</w:t>
      </w:r>
    </w:p>
    <w:p>
      <w:pPr>
        <w:pStyle w:val="Heading2"/>
        <w:spacing w:after="160"/>
      </w:pPr>
      <w:r>
        <w:rPr>
          <w:rFonts w:ascii="Calibri" w:cs="Calibri" w:eastAsia="Calibri" w:hAnsi="Calibri"/>
          <w:b/>
          <w:bCs/>
          <w:color w:val="134E4A"/>
          <w:sz w:val="26"/>
          <w:szCs w:val="26"/>
        </w:rPr>
        <w:t xml:space="preserve">Zasady w pigułce — czy mogę użyć AI?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7438"/>
      </w:tblGrid>
      <w:tr>
        <w:tc>
          <w:tcPr>
            <w:tcW w:type="dxa" w:w="2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DCFCE7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ZIELONE
można</w:t>
            </w:r>
          </w:p>
        </w:tc>
        <w:tc>
          <w:tcPr>
            <w:tcW w:type="dxa" w:w="7438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6"/>
              </w:num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Streszczenie opublikowanej uchwały lub ustawy</w:t>
            </w:r>
          </w:p>
          <w:p>
            <w:pPr>
              <w:pStyle w:val="ListParagraph"/>
              <w:numPr>
                <w:ilvl w:val="0"/>
                <w:numId w:val="6"/>
              </w:num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Uproszczenie języka komunikatu dla mieszkańców</w:t>
            </w:r>
          </w:p>
          <w:p>
            <w:pPr>
              <w:pStyle w:val="ListParagraph"/>
              <w:numPr>
                <w:ilvl w:val="0"/>
                <w:numId w:val="6"/>
              </w:num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Korekta językowa pisma bez danych osobowych</w:t>
            </w:r>
          </w:p>
          <w:p>
            <w:pPr>
              <w:pStyle w:val="ListParagraph"/>
              <w:numPr>
                <w:ilvl w:val="0"/>
                <w:numId w:val="6"/>
              </w:num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Projekt ogłoszenia, prezentacji, materiału szkoleniowego</w:t>
            </w:r>
          </w:p>
          <w:p>
            <w:pPr>
              <w:pStyle w:val="ListParagraph"/>
              <w:numPr>
                <w:ilvl w:val="0"/>
                <w:numId w:val="6"/>
              </w:num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Formuła Excela na danych przykładowych</w:t>
            </w:r>
          </w:p>
        </w:tc>
      </w:tr>
      <w:tr>
        <w:tc>
          <w:tcPr>
            <w:tcW w:type="dxa" w:w="2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EF3C7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ŻÓŁTE
z zachowaniem warunków</w:t>
            </w:r>
          </w:p>
        </w:tc>
        <w:tc>
          <w:tcPr>
            <w:tcW w:type="dxa" w:w="7438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6"/>
              </w:num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Pismo w sprawie mieszkańca — tylko po anonimizacji (§ 5 ust. 2)</w:t>
            </w:r>
          </w:p>
          <w:p>
            <w:pPr>
              <w:pStyle w:val="ListParagraph"/>
              <w:numPr>
                <w:ilvl w:val="0"/>
                <w:numId w:val="6"/>
              </w:num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Dokument wewnętrzny z danymi — tylko w narzędziu z umową powierzenia (Ewidencja)</w:t>
            </w:r>
          </w:p>
          <w:p>
            <w:pPr>
              <w:pStyle w:val="ListParagraph"/>
              <w:numPr>
                <w:ilvl w:val="0"/>
                <w:numId w:val="6"/>
              </w:num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Treść do publikacji — tylko po przeglądzie redakcyjnym (§ 8)</w:t>
            </w:r>
          </w:p>
          <w:p>
            <w:pPr>
              <w:pStyle w:val="ListParagraph"/>
              <w:numPr>
                <w:ilvl w:val="0"/>
                <w:numId w:val="6"/>
              </w:num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Nowe zastosowanie — po zgodzie Koordynatora ds. AI</w:t>
            </w:r>
          </w:p>
        </w:tc>
      </w:tr>
      <w:tr>
        <w:tc>
          <w:tcPr>
            <w:tcW w:type="dxa" w:w="2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EE2E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CZERWONE
nie wolno</w:t>
            </w:r>
          </w:p>
        </w:tc>
        <w:tc>
          <w:tcPr>
            <w:tcW w:type="dxa" w:w="7438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6"/>
              </w:num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Wklejenie wniosku z PESEL, adresem lub danymi o zdrowiu do narzędzia bez umowy powierzenia</w:t>
            </w:r>
          </w:p>
          <w:p>
            <w:pPr>
              <w:pStyle w:val="ListParagraph"/>
              <w:numPr>
                <w:ilvl w:val="0"/>
                <w:numId w:val="6"/>
              </w:num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Prywatne konto w narzędziu AI do zadań służbowych</w:t>
            </w:r>
          </w:p>
          <w:p>
            <w:pPr>
              <w:pStyle w:val="ListParagraph"/>
              <w:numPr>
                <w:ilvl w:val="0"/>
                <w:numId w:val="6"/>
              </w:num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Decyzja administracyjna przygotowana przez AI bez merytorycznej oceny pracownika</w:t>
            </w:r>
          </w:p>
          <w:p>
            <w:pPr>
              <w:pStyle w:val="ListParagraph"/>
              <w:numPr>
                <w:ilvl w:val="0"/>
                <w:numId w:val="6"/>
              </w:num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Ocena kandydatów w naborze przez AI</w:t>
            </w:r>
          </w:p>
          <w:p>
            <w:pPr>
              <w:pStyle w:val="ListParagraph"/>
              <w:numPr>
                <w:ilvl w:val="0"/>
                <w:numId w:val="6"/>
              </w:num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Hasła, konfiguracje systemów, informacje niejawne</w:t>
            </w:r>
          </w:p>
        </w:tc>
      </w:tr>
    </w:tbl>
    <w:p>
      <w:pPr>
        <w:spacing w:after="120" w:before="200" w:line="276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Masz wątpliwość? Nie wprowadzaj informacji — zapytaj Koordynatora ds. AI lub inspektora ochrony danych.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4748B"/>
        <w:sz w:val="16"/>
        <w:szCs w:val="16"/>
      </w:rPr>
      <w:t xml:space="preserve">Polityka korzystania z narzędzi AI — wzór: skillit.pl   |   Strona </w:t>
    </w:r>
    <w:r>
      <w:rPr>
        <w:rFonts w:ascii="Calibri" w:cs="Calibri" w:eastAsia="Calibri" w:hAnsi="Calibri"/>
        <w:color w:val="64748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–"/>
      <w:lvlJc w:val="left"/>
      <w:pPr>
        <w:ind w:left="567" w:hanging="283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7" w:hanging="340"/>
      </w:pPr>
    </w:lvl>
    <w:lvl w:ilvl="1" w15:tentative="1">
      <w:start w:val="1"/>
      <w:numFmt w:val="lowerLetter"/>
      <w:lvlText w:val="%2)"/>
      <w:lvlJc w:val="left"/>
      <w:pPr>
        <w:ind w:left="1020" w:hanging="34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7" w:hanging="340"/>
      </w:pPr>
    </w:lvl>
    <w:lvl w:ilvl="1" w15:tentative="1">
      <w:start w:val="1"/>
      <w:numFmt w:val="lowerLetter"/>
      <w:lvlText w:val="%2)"/>
      <w:lvlJc w:val="left"/>
      <w:pPr>
        <w:ind w:left="1020" w:hanging="34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7" w:hanging="340"/>
      </w:pPr>
    </w:lvl>
    <w:lvl w:ilvl="1" w15:tentative="1">
      <w:start w:val="1"/>
      <w:numFmt w:val="lowerLetter"/>
      <w:lvlText w:val="%2)"/>
      <w:lvlJc w:val="left"/>
      <w:pPr>
        <w:ind w:left="1020" w:hanging="34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7" w:hanging="340"/>
      </w:pPr>
    </w:lvl>
    <w:lvl w:ilvl="1" w15:tentative="1">
      <w:start w:val="1"/>
      <w:numFmt w:val="lowerLetter"/>
      <w:lvlText w:val="%2)"/>
      <w:lvlJc w:val="left"/>
      <w:pPr>
        <w:ind w:left="1020" w:hanging="34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7" w:hanging="340"/>
      </w:pPr>
    </w:lvl>
    <w:lvl w:ilvl="1" w15:tentative="1">
      <w:start w:val="1"/>
      <w:numFmt w:val="lowerLetter"/>
      <w:lvlText w:val="%2)"/>
      <w:lvlJc w:val="left"/>
      <w:pPr>
        <w:ind w:left="1020" w:hanging="340"/>
      </w:p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7" w:hanging="340"/>
      </w:pPr>
    </w:lvl>
    <w:lvl w:ilvl="1" w15:tentative="1">
      <w:start w:val="1"/>
      <w:numFmt w:val="lowerLetter"/>
      <w:lvlText w:val="%2)"/>
      <w:lvlJc w:val="left"/>
      <w:pPr>
        <w:ind w:left="1020" w:hanging="340"/>
      </w:pPr>
    </w:lvl>
  </w:abstractNum>
  <w:abstractNum w:abstractNumId="9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7" w:hanging="340"/>
      </w:pPr>
    </w:lvl>
    <w:lvl w:ilvl="1" w15:tentative="1">
      <w:start w:val="1"/>
      <w:numFmt w:val="lowerLetter"/>
      <w:lvlText w:val="%2)"/>
      <w:lvlJc w:val="left"/>
      <w:pPr>
        <w:ind w:left="1020" w:hanging="340"/>
      </w:pPr>
    </w:lvl>
  </w:abstractNum>
  <w:abstractNum w:abstractNumId="10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7" w:hanging="340"/>
      </w:pPr>
    </w:lvl>
    <w:lvl w:ilvl="1" w15:tentative="1">
      <w:start w:val="1"/>
      <w:numFmt w:val="lowerLetter"/>
      <w:lvlText w:val="%2)"/>
      <w:lvlJc w:val="left"/>
      <w:pPr>
        <w:ind w:left="1020" w:hanging="340"/>
      </w:pPr>
    </w:lvl>
  </w:abstractNum>
  <w:abstractNum w:abstractNumId="11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7" w:hanging="340"/>
      </w:pPr>
    </w:lvl>
    <w:lvl w:ilvl="1" w15:tentative="1">
      <w:start w:val="1"/>
      <w:numFmt w:val="lowerLetter"/>
      <w:lvlText w:val="%2)"/>
      <w:lvlJc w:val="left"/>
      <w:pPr>
        <w:ind w:left="1020" w:hanging="340"/>
      </w:pPr>
    </w:lvl>
  </w:abstractNum>
  <w:abstractNum w:abstractNumId="1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7" w:hanging="340"/>
      </w:pPr>
    </w:lvl>
    <w:lvl w:ilvl="1" w15:tentative="1">
      <w:start w:val="1"/>
      <w:numFmt w:val="lowerLetter"/>
      <w:lvlText w:val="%2)"/>
      <w:lvlJc w:val="left"/>
      <w:pPr>
        <w:ind w:left="1020" w:hanging="340"/>
      </w:pPr>
    </w:lvl>
  </w:abstractNum>
  <w:abstractNum w:abstractNumId="1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7" w:hanging="340"/>
      </w:pPr>
    </w:lvl>
    <w:lvl w:ilvl="1" w15:tentative="1">
      <w:start w:val="1"/>
      <w:numFmt w:val="lowerLetter"/>
      <w:lvlText w:val="%2)"/>
      <w:lvlJc w:val="left"/>
      <w:pPr>
        <w:ind w:left="1020" w:hanging="340"/>
      </w:pPr>
    </w:lvl>
  </w:abstractNum>
  <w:abstractNum w:abstractNumId="1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7" w:hanging="340"/>
      </w:pPr>
    </w:lvl>
    <w:lvl w:ilvl="1" w15:tentative="1">
      <w:start w:val="1"/>
      <w:numFmt w:val="lowerLetter"/>
      <w:lvlText w:val="%2)"/>
      <w:lvlJc w:val="left"/>
      <w:pPr>
        <w:ind w:left="1020" w:hanging="340"/>
      </w:pPr>
    </w:lvl>
  </w:abstractNum>
  <w:abstractNum w:abstractNumId="1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7" w:hanging="340"/>
      </w:pPr>
    </w:lvl>
    <w:lvl w:ilvl="1" w15:tentative="1">
      <w:start w:val="1"/>
      <w:numFmt w:val="lowerLetter"/>
      <w:lvlText w:val="%2)"/>
      <w:lvlJc w:val="left"/>
      <w:pPr>
        <w:ind w:left="1020" w:hanging="340"/>
      </w:pPr>
    </w:lvl>
  </w:abstractNum>
  <w:abstractNum w:abstractNumId="1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7" w:hanging="340"/>
      </w:pPr>
    </w:lvl>
    <w:lvl w:ilvl="1" w15:tentative="1">
      <w:start w:val="1"/>
      <w:numFmt w:val="lowerLetter"/>
      <w:lvlText w:val="%2)"/>
      <w:lvlJc w:val="left"/>
      <w:pPr>
        <w:ind w:left="1020" w:hanging="340"/>
      </w:pPr>
    </w:lvl>
  </w:abstractNum>
  <w:abstractNum w:abstractNumId="1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7" w:hanging="340"/>
      </w:pPr>
    </w:lvl>
    <w:lvl w:ilvl="1" w15:tentative="1">
      <w:start w:val="1"/>
      <w:numFmt w:val="lowerLetter"/>
      <w:lvlText w:val="%2)"/>
      <w:lvlJc w:val="left"/>
      <w:pPr>
        <w:ind w:left="1020" w:hanging="340"/>
      </w:pPr>
    </w:lvl>
  </w:abstractNum>
  <w:abstractNum w:abstractNumId="1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7" w:hanging="340"/>
      </w:pPr>
    </w:lvl>
    <w:lvl w:ilvl="1" w15:tentative="1">
      <w:start w:val="1"/>
      <w:numFmt w:val="lowerLetter"/>
      <w:lvlText w:val="%2)"/>
      <w:lvlJc w:val="left"/>
      <w:pPr>
        <w:ind w:left="1020" w:hanging="340"/>
      </w:pPr>
    </w:lvl>
  </w:abstractNum>
  <w:abstractNum w:abstractNumId="19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7" w:hanging="340"/>
      </w:pPr>
    </w:lvl>
    <w:lvl w:ilvl="1" w15:tentative="1">
      <w:start w:val="1"/>
      <w:numFmt w:val="lowerLetter"/>
      <w:lvlText w:val="%2)"/>
      <w:lvlJc w:val="left"/>
      <w:pPr>
        <w:ind w:left="1020" w:hanging="340"/>
      </w:pPr>
    </w:lvl>
  </w:abstractNum>
  <w:abstractNum w:abstractNumId="20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7" w:hanging="340"/>
      </w:pPr>
    </w:lvl>
    <w:lvl w:ilvl="1" w15:tentative="1">
      <w:start w:val="1"/>
      <w:numFmt w:val="lowerLetter"/>
      <w:lvlText w:val="%2)"/>
      <w:lvlJc w:val="left"/>
      <w:pPr>
        <w:ind w:left="1020" w:hanging="340"/>
      </w:pPr>
    </w:lvl>
  </w:abstractNum>
  <w:abstractNum w:abstractNumId="21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7" w:hanging="340"/>
      </w:pPr>
    </w:lvl>
    <w:lvl w:ilvl="1" w15:tentative="1">
      <w:start w:val="1"/>
      <w:numFmt w:val="lowerLetter"/>
      <w:lvlText w:val="%2)"/>
      <w:lvlJc w:val="left"/>
      <w:pPr>
        <w:ind w:left="1020" w:hanging="340"/>
      </w:pPr>
    </w:lvl>
  </w:abstractNum>
  <w:abstractNum w:abstractNumId="2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7" w:hanging="340"/>
      </w:pPr>
    </w:lvl>
    <w:lvl w:ilvl="1" w15:tentative="1">
      <w:start w:val="1"/>
      <w:numFmt w:val="lowerLetter"/>
      <w:lvlText w:val="%2)"/>
      <w:lvlJc w:val="left"/>
      <w:pPr>
        <w:ind w:left="1020" w:hanging="340"/>
      </w:pPr>
    </w:lvl>
  </w:abstractNum>
  <w:abstractNum w:abstractNumId="2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7" w:hanging="340"/>
      </w:pPr>
    </w:lvl>
    <w:lvl w:ilvl="1" w15:tentative="1">
      <w:start w:val="1"/>
      <w:numFmt w:val="lowerLetter"/>
      <w:lvlText w:val="%2)"/>
      <w:lvlJc w:val="left"/>
      <w:pPr>
        <w:ind w:left="1020" w:hanging="340"/>
      </w:pPr>
    </w:lvl>
  </w:abstractNum>
  <w:abstractNum w:abstractNumId="2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7" w:hanging="340"/>
      </w:pPr>
    </w:lvl>
    <w:lvl w:ilvl="1" w15:tentative="1">
      <w:start w:val="1"/>
      <w:numFmt w:val="lowerLetter"/>
      <w:lvlText w:val="%2)"/>
      <w:lvlJc w:val="left"/>
      <w:pPr>
        <w:ind w:left="1020" w:hanging="340"/>
      </w:pPr>
    </w:lvl>
  </w:abstractNum>
  <w:abstractNum w:abstractNumId="2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7" w:hanging="340"/>
      </w:pPr>
    </w:lvl>
    <w:lvl w:ilvl="1" w15:tentative="1">
      <w:start w:val="1"/>
      <w:numFmt w:val="lowerLetter"/>
      <w:lvlText w:val="%2)"/>
      <w:lvlJc w:val="left"/>
      <w:pPr>
        <w:ind w:left="1020" w:hanging="340"/>
      </w:pPr>
    </w:lvl>
  </w:abstractNum>
  <w:abstractNum w:abstractNumId="2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7" w:hanging="340"/>
      </w:pPr>
    </w:lvl>
    <w:lvl w:ilvl="1" w15:tentative="1">
      <w:start w:val="1"/>
      <w:numFmt w:val="lowerLetter"/>
      <w:lvlText w:val="%2)"/>
      <w:lvlJc w:val="left"/>
      <w:pPr>
        <w:ind w:left="1020" w:hanging="340"/>
      </w:pPr>
    </w:lvl>
  </w:abstractNum>
  <w:abstractNum w:abstractNumId="2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7" w:hanging="340"/>
      </w:pPr>
    </w:lvl>
    <w:lvl w:ilvl="1" w15:tentative="1">
      <w:start w:val="1"/>
      <w:numFmt w:val="lowerLetter"/>
      <w:lvlText w:val="%2)"/>
      <w:lvlJc w:val="left"/>
      <w:pPr>
        <w:ind w:left="1020" w:hanging="340"/>
      </w:pPr>
    </w:lvl>
  </w:abstractNum>
  <w:abstractNum w:abstractNumId="2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7" w:hanging="340"/>
      </w:pPr>
    </w:lvl>
    <w:lvl w:ilvl="1" w15:tentative="1">
      <w:start w:val="1"/>
      <w:numFmt w:val="lowerLetter"/>
      <w:lvlText w:val="%2)"/>
      <w:lvlJc w:val="left"/>
      <w:pPr>
        <w:ind w:left="1020" w:hanging="340"/>
      </w:pPr>
    </w:lvl>
  </w:abstractNum>
  <w:abstractNum w:abstractNumId="29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7" w:hanging="340"/>
      </w:pPr>
    </w:lvl>
    <w:lvl w:ilvl="1" w15:tentative="1">
      <w:start w:val="1"/>
      <w:numFmt w:val="lowerLetter"/>
      <w:lvlText w:val="%2)"/>
      <w:lvlJc w:val="left"/>
      <w:pPr>
        <w:ind w:left="1020" w:hanging="340"/>
      </w:pPr>
    </w:lvl>
  </w:abstractNum>
  <w:abstractNum w:abstractNumId="30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7" w:hanging="340"/>
      </w:pPr>
    </w:lvl>
    <w:lvl w:ilvl="1" w15:tentative="1">
      <w:start w:val="1"/>
      <w:numFmt w:val="lowerLetter"/>
      <w:lvlText w:val="%2)"/>
      <w:lvlJc w:val="left"/>
      <w:pPr>
        <w:ind w:left="1020" w:hanging="340"/>
      </w:pPr>
    </w:lvl>
  </w:abstractNum>
  <w:abstractNum w:abstractNumId="31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7" w:hanging="340"/>
      </w:pPr>
    </w:lvl>
    <w:lvl w:ilvl="1" w15:tentative="1">
      <w:start w:val="1"/>
      <w:numFmt w:val="lowerLetter"/>
      <w:lvlText w:val="%2)"/>
      <w:lvlJc w:val="left"/>
      <w:pPr>
        <w:ind w:left="1020" w:hanging="340"/>
      </w:pPr>
    </w:lvl>
  </w:abstractNum>
  <w:abstractNum w:abstractNumId="3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7" w:hanging="340"/>
      </w:pPr>
    </w:lvl>
    <w:lvl w:ilvl="1" w15:tentative="1">
      <w:start w:val="1"/>
      <w:numFmt w:val="lowerLetter"/>
      <w:lvlText w:val="%2)"/>
      <w:lvlJc w:val="left"/>
      <w:pPr>
        <w:ind w:left="1020" w:hanging="34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4"/>
    <w:lvlOverride w:ilvl="0">
      <w:startOverride w:val="1"/>
    </w:lvlOverride>
  </w:num>
  <w:num w:numId="4">
    <w:abstractNumId w:val="5"/>
    <w:lvlOverride w:ilvl="0">
      <w:startOverride w:val="1"/>
    </w:lvlOverride>
  </w:num>
  <w:num w:numId="5">
    <w:abstractNumId w:val="6"/>
    <w:lvlOverride w:ilvl="0">
      <w:startOverride w:val="1"/>
    </w:lvlOverride>
  </w:num>
  <w:num w:numId="6">
    <w:abstractNumId w:val="2"/>
    <w:lvlOverride w:ilvl="0">
      <w:startOverride w:val="1"/>
    </w:lvlOverride>
  </w:num>
  <w:num w:numId="7">
    <w:abstractNumId w:val="7"/>
    <w:lvlOverride w:ilvl="0">
      <w:startOverride w:val="1"/>
    </w:lvlOverride>
  </w:num>
  <w:num w:numId="8">
    <w:abstractNumId w:val="8"/>
    <w:lvlOverride w:ilvl="0">
      <w:startOverride w:val="1"/>
    </w:lvlOverride>
  </w:num>
  <w:num w:numId="9">
    <w:abstractNumId w:val="9"/>
    <w:lvlOverride w:ilvl="0">
      <w:startOverride w:val="1"/>
    </w:lvlOverride>
  </w:num>
  <w:num w:numId="10">
    <w:abstractNumId w:val="10"/>
    <w:lvlOverride w:ilvl="0">
      <w:startOverride w:val="1"/>
    </w:lvlOverride>
  </w:num>
  <w:num w:numId="11">
    <w:abstractNumId w:val="11"/>
    <w:lvlOverride w:ilvl="0">
      <w:startOverride w:val="1"/>
    </w:lvlOverride>
  </w:num>
  <w:num w:numId="12">
    <w:abstractNumId w:val="1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Calibri" w:cs="Calibri" w:eastAsia="Calibri" w:hAnsi="Calibri"/>
      <w:b/>
      <w:bCs/>
      <w:sz w:val="30"/>
      <w:szCs w:val="30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Calibri" w:cs="Calibri" w:eastAsia="Calibri" w:hAnsi="Calibri"/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2026-10-07T14:25:35.249Z</dcterms:created>
  <dcterms:modified xsi:type="dcterms:W3CDTF">2026-10-07T14:25:35.257Z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